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E50" w:rsidRPr="00E338FE" w:rsidRDefault="00BB7B02" w:rsidP="00BB7B02">
      <w:pPr>
        <w:jc w:val="center"/>
        <w:rPr>
          <w:rFonts w:ascii="Palatino Linotype" w:hAnsi="Palatino Linotype"/>
          <w:b/>
          <w:sz w:val="24"/>
          <w:u w:val="single"/>
          <w:lang w:val="en-GB"/>
        </w:rPr>
      </w:pPr>
      <w:r w:rsidRPr="00E338FE">
        <w:rPr>
          <w:rFonts w:ascii="Palatino Linotype" w:hAnsi="Palatino Linotype"/>
          <w:b/>
          <w:sz w:val="24"/>
          <w:u w:val="single"/>
          <w:lang w:val="en-GB"/>
        </w:rPr>
        <w:t xml:space="preserve">Equity Policy </w:t>
      </w:r>
      <w:r w:rsidR="00E338FE" w:rsidRPr="00E338FE">
        <w:rPr>
          <w:rFonts w:ascii="Palatino Linotype" w:hAnsi="Palatino Linotype"/>
          <w:b/>
          <w:sz w:val="24"/>
          <w:u w:val="single"/>
          <w:lang w:val="en-GB"/>
        </w:rPr>
        <w:t>of the 248th Session</w:t>
      </w:r>
    </w:p>
    <w:p w:rsidR="00BB7B02" w:rsidRPr="00BB7B02" w:rsidRDefault="00BB7B02" w:rsidP="00BB7B02">
      <w:pPr>
        <w:pStyle w:val="ListParagraph"/>
        <w:numPr>
          <w:ilvl w:val="0"/>
          <w:numId w:val="6"/>
        </w:numPr>
        <w:rPr>
          <w:rFonts w:ascii="Palatino Linotype" w:hAnsi="Palatino Linotype"/>
          <w:lang w:val="en-GB"/>
        </w:rPr>
      </w:pPr>
      <w:r w:rsidRPr="00BB7B02">
        <w:rPr>
          <w:rFonts w:ascii="Palatino Linotype" w:hAnsi="Palatino Linotype"/>
          <w:b/>
          <w:lang w:val="en-GB"/>
        </w:rPr>
        <w:t>The Policy</w:t>
      </w:r>
    </w:p>
    <w:p w:rsidR="00C8692F" w:rsidRDefault="00BB7B02" w:rsidP="00C8692F">
      <w:pPr>
        <w:pStyle w:val="ListParagraph"/>
        <w:numPr>
          <w:ilvl w:val="1"/>
          <w:numId w:val="6"/>
        </w:numPr>
        <w:rPr>
          <w:rFonts w:ascii="Palatino Linotype" w:hAnsi="Palatino Linotype"/>
          <w:lang w:val="en-GB"/>
        </w:rPr>
      </w:pPr>
      <w:r w:rsidRPr="00C8692F">
        <w:rPr>
          <w:rFonts w:ascii="Palatino Linotype" w:hAnsi="Palatino Linotype"/>
          <w:lang w:val="en-GB"/>
        </w:rPr>
        <w:t>The purpose of the Equity Policy is to</w:t>
      </w:r>
      <w:r w:rsidR="00C8692F">
        <w:rPr>
          <w:rFonts w:ascii="Palatino Linotype" w:hAnsi="Palatino Linotype"/>
          <w:lang w:val="en-GB"/>
        </w:rPr>
        <w:t xml:space="preserve"> </w:t>
      </w:r>
      <w:r w:rsidR="00C8692F" w:rsidRPr="00C8692F">
        <w:rPr>
          <w:rFonts w:ascii="Palatino Linotype" w:hAnsi="Palatino Linotype"/>
          <w:lang w:val="en-GB"/>
        </w:rPr>
        <w:t>outline the standard of behaviour all members of</w:t>
      </w:r>
      <w:r w:rsidR="00C8692F">
        <w:rPr>
          <w:rFonts w:ascii="Palatino Linotype" w:hAnsi="Palatino Linotype"/>
          <w:lang w:val="en-GB"/>
        </w:rPr>
        <w:t xml:space="preserve"> </w:t>
      </w:r>
      <w:r w:rsidR="00C8692F" w:rsidRPr="00C8692F">
        <w:rPr>
          <w:rFonts w:ascii="Palatino Linotype" w:hAnsi="Palatino Linotype"/>
          <w:lang w:val="en-GB"/>
        </w:rPr>
        <w:t>the Society</w:t>
      </w:r>
      <w:r w:rsidR="00B800B1">
        <w:rPr>
          <w:rFonts w:ascii="Palatino Linotype" w:hAnsi="Palatino Linotype"/>
          <w:lang w:val="en-GB"/>
        </w:rPr>
        <w:t xml:space="preserve"> </w:t>
      </w:r>
      <w:r w:rsidR="00DF2CFA">
        <w:rPr>
          <w:rFonts w:ascii="Palatino Linotype" w:hAnsi="Palatino Linotype"/>
          <w:lang w:val="en-GB"/>
        </w:rPr>
        <w:t>are expected</w:t>
      </w:r>
      <w:r w:rsidR="00B800B1">
        <w:rPr>
          <w:rFonts w:ascii="Palatino Linotype" w:hAnsi="Palatino Linotype"/>
          <w:lang w:val="en-GB"/>
        </w:rPr>
        <w:t xml:space="preserve"> adhere to throughout the s</w:t>
      </w:r>
      <w:r w:rsidR="00C8692F" w:rsidRPr="00C8692F">
        <w:rPr>
          <w:rFonts w:ascii="Palatino Linotype" w:hAnsi="Palatino Linotype"/>
          <w:lang w:val="en-GB"/>
        </w:rPr>
        <w:t>ession and the procedure that will be</w:t>
      </w:r>
      <w:r w:rsidR="00C8692F">
        <w:rPr>
          <w:rFonts w:ascii="Palatino Linotype" w:hAnsi="Palatino Linotype"/>
          <w:lang w:val="en-GB"/>
        </w:rPr>
        <w:t xml:space="preserve"> </w:t>
      </w:r>
      <w:r w:rsidR="00C8692F" w:rsidRPr="00C8692F">
        <w:rPr>
          <w:rFonts w:ascii="Palatino Linotype" w:hAnsi="Palatino Linotype"/>
          <w:lang w:val="en-GB"/>
        </w:rPr>
        <w:t xml:space="preserve">followed in handling </w:t>
      </w:r>
      <w:r w:rsidR="00C8692F">
        <w:rPr>
          <w:rFonts w:ascii="Palatino Linotype" w:hAnsi="Palatino Linotype"/>
          <w:lang w:val="en-GB"/>
        </w:rPr>
        <w:t>violation</w:t>
      </w:r>
      <w:r w:rsidR="00DF2CFA">
        <w:rPr>
          <w:rFonts w:ascii="Palatino Linotype" w:hAnsi="Palatino Linotype"/>
          <w:lang w:val="en-GB"/>
        </w:rPr>
        <w:t>s</w:t>
      </w:r>
      <w:r w:rsidR="00C8692F">
        <w:rPr>
          <w:rFonts w:ascii="Palatino Linotype" w:hAnsi="Palatino Linotype"/>
          <w:lang w:val="en-GB"/>
        </w:rPr>
        <w:t xml:space="preserve"> of that standard.</w:t>
      </w:r>
    </w:p>
    <w:p w:rsidR="00BB7B02" w:rsidRPr="00C8692F" w:rsidRDefault="00BB7B02" w:rsidP="00C8692F">
      <w:pPr>
        <w:pStyle w:val="ListParagraph"/>
        <w:numPr>
          <w:ilvl w:val="1"/>
          <w:numId w:val="6"/>
        </w:numPr>
        <w:rPr>
          <w:rFonts w:ascii="Palatino Linotype" w:hAnsi="Palatino Linotype"/>
          <w:lang w:val="en-GB"/>
        </w:rPr>
      </w:pPr>
      <w:r w:rsidRPr="00C8692F">
        <w:rPr>
          <w:rFonts w:ascii="Palatino Linotype" w:hAnsi="Palatino Linotype"/>
          <w:lang w:val="en-GB"/>
        </w:rPr>
        <w:t xml:space="preserve">The Policy seeks to </w:t>
      </w:r>
      <w:r w:rsidR="00556BB3" w:rsidRPr="00C8692F">
        <w:rPr>
          <w:rFonts w:ascii="Palatino Linotype" w:hAnsi="Palatino Linotype"/>
          <w:lang w:val="en-GB"/>
        </w:rPr>
        <w:t xml:space="preserve">ensure safety and inclusivity within the Society through the facilitation of a robust debating environment, where </w:t>
      </w:r>
      <w:r w:rsidRPr="00C8692F">
        <w:rPr>
          <w:rFonts w:ascii="Palatino Linotype" w:hAnsi="Palatino Linotype"/>
          <w:lang w:val="en-GB"/>
        </w:rPr>
        <w:t xml:space="preserve">critical thinking and educative discourse </w:t>
      </w:r>
      <w:r w:rsidR="00556BB3" w:rsidRPr="00C8692F">
        <w:rPr>
          <w:rFonts w:ascii="Palatino Linotype" w:hAnsi="Palatino Linotype"/>
          <w:lang w:val="en-GB"/>
        </w:rPr>
        <w:t>are encouraged whilst simultaneously preventing offense or harm to all involved.</w:t>
      </w:r>
    </w:p>
    <w:p w:rsidR="00BB7B02" w:rsidRPr="00BB7B02" w:rsidRDefault="00BB7B02" w:rsidP="00BB7B02">
      <w:pPr>
        <w:pStyle w:val="ListParagraph"/>
        <w:numPr>
          <w:ilvl w:val="1"/>
          <w:numId w:val="6"/>
        </w:num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lang w:val="en-GB"/>
        </w:rPr>
        <w:t xml:space="preserve">The Policy </w:t>
      </w:r>
      <w:r w:rsidR="00556BB3">
        <w:rPr>
          <w:rFonts w:ascii="Palatino Linotype" w:hAnsi="Palatino Linotype"/>
          <w:lang w:val="en-GB"/>
        </w:rPr>
        <w:t xml:space="preserve">is binding on all Society Members, Committee Members, and Officers </w:t>
      </w:r>
      <w:r w:rsidR="00C8692F">
        <w:rPr>
          <w:rFonts w:ascii="Palatino Linotype" w:hAnsi="Palatino Linotype"/>
          <w:lang w:val="en-GB"/>
        </w:rPr>
        <w:t>during</w:t>
      </w:r>
      <w:r w:rsidR="00556BB3">
        <w:rPr>
          <w:rFonts w:ascii="Palatino Linotype" w:hAnsi="Palatino Linotype"/>
          <w:lang w:val="en-GB"/>
        </w:rPr>
        <w:t xml:space="preserve"> all Society events, including but not limited to Chamber Debates, Derbies of Rhetoric, Public and Private Business Meetings, and social activities, as well as </w:t>
      </w:r>
      <w:r w:rsidR="00C8692F">
        <w:rPr>
          <w:rFonts w:ascii="Palatino Linotype" w:hAnsi="Palatino Linotype"/>
          <w:lang w:val="en-GB"/>
        </w:rPr>
        <w:t xml:space="preserve">throughout </w:t>
      </w:r>
      <w:r w:rsidR="00556BB3">
        <w:rPr>
          <w:rFonts w:ascii="Palatino Linotype" w:hAnsi="Palatino Linotype"/>
          <w:lang w:val="en-GB"/>
        </w:rPr>
        <w:t>all in</w:t>
      </w:r>
      <w:r w:rsidR="00C8692F">
        <w:rPr>
          <w:rFonts w:ascii="Palatino Linotype" w:hAnsi="Palatino Linotype"/>
          <w:lang w:val="en-GB"/>
        </w:rPr>
        <w:t>ternet-based presence of the S</w:t>
      </w:r>
      <w:r w:rsidR="00556BB3">
        <w:rPr>
          <w:rFonts w:ascii="Palatino Linotype" w:hAnsi="Palatino Linotype"/>
          <w:lang w:val="en-GB"/>
        </w:rPr>
        <w:t xml:space="preserve">ociety.  </w:t>
      </w:r>
    </w:p>
    <w:p w:rsidR="00BB7B02" w:rsidRDefault="00BB7B02" w:rsidP="00BB7B02">
      <w:pPr>
        <w:pStyle w:val="ListParagraph"/>
        <w:numPr>
          <w:ilvl w:val="0"/>
          <w:numId w:val="6"/>
        </w:numPr>
        <w:rPr>
          <w:rFonts w:ascii="Palatino Linotype" w:hAnsi="Palatino Linotype"/>
          <w:b/>
          <w:lang w:val="en-GB"/>
        </w:rPr>
      </w:pPr>
      <w:r w:rsidRPr="00BB7B02">
        <w:rPr>
          <w:rFonts w:ascii="Palatino Linotype" w:hAnsi="Palatino Linotype"/>
          <w:b/>
          <w:lang w:val="en-GB"/>
        </w:rPr>
        <w:t>Equity Officer</w:t>
      </w:r>
    </w:p>
    <w:p w:rsidR="00C8692F" w:rsidRPr="00C8692F" w:rsidRDefault="00C8692F" w:rsidP="00C8692F">
      <w:pPr>
        <w:pStyle w:val="ListParagraph"/>
        <w:numPr>
          <w:ilvl w:val="1"/>
          <w:numId w:val="6"/>
        </w:num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lang w:val="en-GB"/>
        </w:rPr>
        <w:t>The Equity Officer shall be appointed by the General Committee at</w:t>
      </w:r>
      <w:r w:rsidR="00E338FE">
        <w:rPr>
          <w:rFonts w:ascii="Palatino Linotype" w:hAnsi="Palatino Linotype"/>
          <w:lang w:val="en-GB"/>
        </w:rPr>
        <w:t xml:space="preserve"> the beginnin</w:t>
      </w:r>
      <w:r w:rsidR="00FD1285">
        <w:rPr>
          <w:rFonts w:ascii="Palatino Linotype" w:hAnsi="Palatino Linotype"/>
          <w:lang w:val="en-GB"/>
        </w:rPr>
        <w:t>g of each session (see section 5</w:t>
      </w:r>
      <w:r w:rsidR="00E338FE">
        <w:rPr>
          <w:rFonts w:ascii="Palatino Linotype" w:hAnsi="Palatino Linotype"/>
          <w:lang w:val="en-GB"/>
        </w:rPr>
        <w:t xml:space="preserve"> for the name and contact details of the current Equity Officer).</w:t>
      </w:r>
    </w:p>
    <w:p w:rsidR="00A15304" w:rsidRPr="00A15304" w:rsidRDefault="00C8692F" w:rsidP="00A15304">
      <w:pPr>
        <w:pStyle w:val="ListParagraph"/>
        <w:numPr>
          <w:ilvl w:val="1"/>
          <w:numId w:val="6"/>
        </w:num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lang w:val="en-GB"/>
        </w:rPr>
        <w:t xml:space="preserve">The Equity Officer is responsible for </w:t>
      </w:r>
      <w:r w:rsidR="00A15304">
        <w:rPr>
          <w:rFonts w:ascii="Palatino Linotype" w:hAnsi="Palatino Linotype"/>
          <w:lang w:val="en-GB"/>
        </w:rPr>
        <w:t xml:space="preserve">ensuring that a safe, inclusive, and diverse environment is maintained in the Society. </w:t>
      </w:r>
      <w:r w:rsidR="00A15304" w:rsidRPr="00A15304">
        <w:rPr>
          <w:rFonts w:ascii="Palatino Linotype" w:hAnsi="Palatino Linotype"/>
          <w:lang w:val="en-GB"/>
        </w:rPr>
        <w:t xml:space="preserve">It is the Equity Officer’s duty to draft </w:t>
      </w:r>
      <w:r w:rsidR="00A15304">
        <w:rPr>
          <w:rFonts w:ascii="Palatino Linotype" w:hAnsi="Palatino Linotype"/>
          <w:lang w:val="en-GB"/>
        </w:rPr>
        <w:t>the</w:t>
      </w:r>
      <w:r w:rsidR="00A15304" w:rsidRPr="00A15304">
        <w:rPr>
          <w:rFonts w:ascii="Palatino Linotype" w:hAnsi="Palatino Linotype"/>
          <w:lang w:val="en-GB"/>
        </w:rPr>
        <w:t xml:space="preserve"> Equity Policy </w:t>
      </w:r>
      <w:r w:rsidR="0010200E">
        <w:rPr>
          <w:rFonts w:ascii="Palatino Linotype" w:hAnsi="Palatino Linotype"/>
          <w:lang w:val="en-GB"/>
        </w:rPr>
        <w:t xml:space="preserve">at the beginning of the Session </w:t>
      </w:r>
      <w:r w:rsidR="00A15304">
        <w:rPr>
          <w:rFonts w:ascii="Palatino Linotype" w:hAnsi="Palatino Linotype"/>
          <w:lang w:val="en-GB"/>
        </w:rPr>
        <w:t>and to enforce it throughout the Session.</w:t>
      </w:r>
    </w:p>
    <w:p w:rsidR="00A15304" w:rsidRPr="00A15304" w:rsidRDefault="00A15304" w:rsidP="00A15304">
      <w:pPr>
        <w:pStyle w:val="ListParagraph"/>
        <w:numPr>
          <w:ilvl w:val="1"/>
          <w:numId w:val="6"/>
        </w:num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lang w:val="en-GB"/>
        </w:rPr>
        <w:t>If the Equity Officer has not previously attended any form of welfare training, they must do so before the beginning of the academic year for which they are elected.</w:t>
      </w:r>
    </w:p>
    <w:p w:rsidR="00BB7B02" w:rsidRDefault="00BB7B02" w:rsidP="00BB7B02">
      <w:pPr>
        <w:pStyle w:val="ListParagraph"/>
        <w:numPr>
          <w:ilvl w:val="0"/>
          <w:numId w:val="6"/>
        </w:numPr>
        <w:rPr>
          <w:rFonts w:ascii="Palatino Linotype" w:hAnsi="Palatino Linotype"/>
          <w:b/>
          <w:lang w:val="en-GB"/>
        </w:rPr>
      </w:pPr>
      <w:r w:rsidRPr="00BB7B02">
        <w:rPr>
          <w:rFonts w:ascii="Palatino Linotype" w:hAnsi="Palatino Linotype"/>
          <w:b/>
          <w:lang w:val="en-GB"/>
        </w:rPr>
        <w:t>Code of Conduct</w:t>
      </w:r>
    </w:p>
    <w:p w:rsidR="00B87461" w:rsidRPr="00B87461" w:rsidRDefault="00B87461" w:rsidP="00B87461">
      <w:pPr>
        <w:pStyle w:val="ListParagraph"/>
        <w:ind w:left="360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The following behaviours will not be tolerated under any circumstances and will be treated as serious equity violations:</w:t>
      </w:r>
    </w:p>
    <w:p w:rsidR="006015B9" w:rsidRPr="006015B9" w:rsidRDefault="0010200E" w:rsidP="006015B9">
      <w:pPr>
        <w:pStyle w:val="ListParagraph"/>
        <w:numPr>
          <w:ilvl w:val="1"/>
          <w:numId w:val="6"/>
        </w:num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lang w:val="en-GB"/>
        </w:rPr>
        <w:t>Discrimination on the basis of age, nationality, race, gender and gender expression, sexual orientation, religious beliefs, political affiliation, class, and/or physical or mental illness</w:t>
      </w:r>
      <w:r w:rsidR="00B87461">
        <w:rPr>
          <w:rFonts w:ascii="Palatino Linotype" w:hAnsi="Palatino Linotype"/>
          <w:lang w:val="en-GB"/>
        </w:rPr>
        <w:t>/disability, including (</w:t>
      </w:r>
      <w:r w:rsidR="006015B9">
        <w:rPr>
          <w:rFonts w:ascii="Palatino Linotype" w:hAnsi="Palatino Linotype"/>
          <w:lang w:val="en-GB"/>
        </w:rPr>
        <w:t>but not limited to</w:t>
      </w:r>
      <w:r w:rsidR="00B87461">
        <w:rPr>
          <w:rFonts w:ascii="Palatino Linotype" w:hAnsi="Palatino Linotype"/>
          <w:lang w:val="en-GB"/>
        </w:rPr>
        <w:t>)</w:t>
      </w:r>
      <w:r w:rsidR="006015B9">
        <w:rPr>
          <w:rFonts w:ascii="Palatino Linotype" w:hAnsi="Palatino Linotype"/>
          <w:lang w:val="en-GB"/>
        </w:rPr>
        <w:t xml:space="preserve"> physical and verbal harassment, </w:t>
      </w:r>
      <w:r w:rsidR="00B87461">
        <w:rPr>
          <w:rFonts w:ascii="Palatino Linotype" w:hAnsi="Palatino Linotype"/>
          <w:lang w:val="en-GB"/>
        </w:rPr>
        <w:t>hate speech, derogatory language, and use of</w:t>
      </w:r>
      <w:r w:rsidR="00666B55">
        <w:rPr>
          <w:rFonts w:ascii="Palatino Linotype" w:hAnsi="Palatino Linotype"/>
          <w:lang w:val="en-GB"/>
        </w:rPr>
        <w:t xml:space="preserve"> slurs </w:t>
      </w:r>
      <w:r w:rsidR="006015B9">
        <w:rPr>
          <w:rFonts w:ascii="Palatino Linotype" w:hAnsi="Palatino Linotype"/>
          <w:lang w:val="en-GB"/>
        </w:rPr>
        <w:t>and stereoty</w:t>
      </w:r>
      <w:r w:rsidR="00B87461">
        <w:rPr>
          <w:rFonts w:ascii="Palatino Linotype" w:hAnsi="Palatino Linotype"/>
          <w:lang w:val="en-GB"/>
        </w:rPr>
        <w:t>pe-perpetuating generalizations;</w:t>
      </w:r>
    </w:p>
    <w:p w:rsidR="006015B9" w:rsidRPr="00666B55" w:rsidRDefault="00666B55" w:rsidP="006015B9">
      <w:pPr>
        <w:pStyle w:val="ListParagraph"/>
        <w:numPr>
          <w:ilvl w:val="1"/>
          <w:numId w:val="6"/>
        </w:num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lang w:val="en-GB"/>
        </w:rPr>
        <w:t>Physical, verbal, or sexual violence, threats, and bullying</w:t>
      </w:r>
      <w:r w:rsidR="00B87461">
        <w:rPr>
          <w:rFonts w:ascii="Palatino Linotype" w:hAnsi="Palatino Linotype"/>
          <w:lang w:val="en-GB"/>
        </w:rPr>
        <w:t>;</w:t>
      </w:r>
    </w:p>
    <w:p w:rsidR="00666B55" w:rsidRPr="00B87461" w:rsidRDefault="00AF134C" w:rsidP="006015B9">
      <w:pPr>
        <w:pStyle w:val="ListParagraph"/>
        <w:numPr>
          <w:ilvl w:val="1"/>
          <w:numId w:val="6"/>
        </w:num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lang w:val="en-GB"/>
        </w:rPr>
        <w:t xml:space="preserve">Theft, </w:t>
      </w:r>
      <w:r w:rsidR="00B87461">
        <w:rPr>
          <w:rFonts w:ascii="Palatino Linotype" w:hAnsi="Palatino Linotype"/>
          <w:lang w:val="en-GB"/>
        </w:rPr>
        <w:t>damage</w:t>
      </w:r>
      <w:r>
        <w:rPr>
          <w:rFonts w:ascii="Palatino Linotype" w:hAnsi="Palatino Linotype"/>
          <w:lang w:val="en-GB"/>
        </w:rPr>
        <w:t>, or destruction</w:t>
      </w:r>
      <w:r w:rsidR="00B87461">
        <w:rPr>
          <w:rFonts w:ascii="Palatino Linotype" w:hAnsi="Palatino Linotype"/>
          <w:lang w:val="en-GB"/>
        </w:rPr>
        <w:t xml:space="preserve"> </w:t>
      </w:r>
      <w:r>
        <w:rPr>
          <w:rFonts w:ascii="Palatino Linotype" w:hAnsi="Palatino Linotype"/>
          <w:lang w:val="en-GB"/>
        </w:rPr>
        <w:t>of</w:t>
      </w:r>
      <w:r w:rsidR="00B87461">
        <w:rPr>
          <w:rFonts w:ascii="Palatino Linotype" w:hAnsi="Palatino Linotype"/>
          <w:lang w:val="en-GB"/>
        </w:rPr>
        <w:t xml:space="preserve"> personal belongings;</w:t>
      </w:r>
    </w:p>
    <w:p w:rsidR="00B87461" w:rsidRPr="00B87461" w:rsidRDefault="00B87461" w:rsidP="006015B9">
      <w:pPr>
        <w:pStyle w:val="ListParagraph"/>
        <w:numPr>
          <w:ilvl w:val="1"/>
          <w:numId w:val="6"/>
        </w:num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lang w:val="en-GB"/>
        </w:rPr>
        <w:t xml:space="preserve">Hurtful remarks </w:t>
      </w:r>
      <w:r w:rsidR="00A11323">
        <w:rPr>
          <w:rFonts w:ascii="Palatino Linotype" w:hAnsi="Palatino Linotype"/>
          <w:lang w:val="en-GB"/>
        </w:rPr>
        <w:t xml:space="preserve">about </w:t>
      </w:r>
      <w:r>
        <w:rPr>
          <w:rFonts w:ascii="Palatino Linotype" w:hAnsi="Palatino Linotype"/>
          <w:lang w:val="en-GB"/>
        </w:rPr>
        <w:t>debating ability or speaking style;</w:t>
      </w:r>
    </w:p>
    <w:p w:rsidR="00B87461" w:rsidRPr="00A11323" w:rsidRDefault="00B87461" w:rsidP="006015B9">
      <w:pPr>
        <w:pStyle w:val="ListParagraph"/>
        <w:numPr>
          <w:ilvl w:val="1"/>
          <w:numId w:val="6"/>
        </w:num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lang w:val="en-GB"/>
        </w:rPr>
        <w:t>Intentional misgendering or disregard of preferred personal pronouns</w:t>
      </w:r>
      <w:r w:rsidR="00FD1285">
        <w:rPr>
          <w:rFonts w:ascii="Palatino Linotype" w:hAnsi="Palatino Linotype"/>
          <w:lang w:val="en-GB"/>
        </w:rPr>
        <w:t>;</w:t>
      </w:r>
    </w:p>
    <w:p w:rsidR="00A11323" w:rsidRPr="00A11323" w:rsidRDefault="00A11323" w:rsidP="00A11323">
      <w:pPr>
        <w:pStyle w:val="ListParagraph"/>
        <w:numPr>
          <w:ilvl w:val="1"/>
          <w:numId w:val="6"/>
        </w:num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lang w:val="en-GB"/>
        </w:rPr>
        <w:t>Any attempt to undermine the Equity Policy.</w:t>
      </w:r>
    </w:p>
    <w:p w:rsidR="00A11323" w:rsidRPr="00A11323" w:rsidRDefault="00643788" w:rsidP="00A11323">
      <w:pPr>
        <w:pStyle w:val="ListParagraph"/>
        <w:ind w:left="360"/>
        <w:rPr>
          <w:rFonts w:ascii="Palatino Linotype" w:hAnsi="Palatino Linotype"/>
          <w:b/>
          <w:lang w:val="en-GB"/>
        </w:rPr>
      </w:pPr>
      <w:r w:rsidRPr="00643788">
        <w:rPr>
          <w:rFonts w:ascii="Palatino Linotype" w:hAnsi="Palatino Linotype"/>
          <w:b/>
          <w:lang w:val="en-GB"/>
        </w:rPr>
        <w:t>Note:</w:t>
      </w:r>
      <w:r>
        <w:rPr>
          <w:rFonts w:ascii="Palatino Linotype" w:hAnsi="Palatino Linotype"/>
          <w:lang w:val="en-GB"/>
        </w:rPr>
        <w:t xml:space="preserve"> T</w:t>
      </w:r>
      <w:r w:rsidR="00A11323">
        <w:rPr>
          <w:rFonts w:ascii="Palatino Linotype" w:hAnsi="Palatino Linotype"/>
          <w:lang w:val="en-GB"/>
        </w:rPr>
        <w:t xml:space="preserve">he </w:t>
      </w:r>
      <w:r w:rsidR="00C01443">
        <w:rPr>
          <w:rFonts w:ascii="Palatino Linotype" w:hAnsi="Palatino Linotype"/>
          <w:lang w:val="en-GB"/>
        </w:rPr>
        <w:t>influence of substances</w:t>
      </w:r>
      <w:r w:rsidR="00A11323">
        <w:rPr>
          <w:rFonts w:ascii="Palatino Linotype" w:hAnsi="Palatino Linotype"/>
          <w:lang w:val="en-GB"/>
        </w:rPr>
        <w:t xml:space="preserve"> will not be considered a mitigating circumstance for violating the code of conduct. Equity violations committed under the influence of such substances will be treated with equal severity to those committed while sober.</w:t>
      </w:r>
    </w:p>
    <w:p w:rsidR="00BB7B02" w:rsidRDefault="00BB7B02" w:rsidP="00BB7B02">
      <w:pPr>
        <w:pStyle w:val="ListParagraph"/>
        <w:numPr>
          <w:ilvl w:val="0"/>
          <w:numId w:val="6"/>
        </w:numPr>
        <w:rPr>
          <w:rFonts w:ascii="Palatino Linotype" w:hAnsi="Palatino Linotype"/>
          <w:b/>
          <w:lang w:val="en-GB"/>
        </w:rPr>
      </w:pPr>
      <w:r w:rsidRPr="00BB7B02">
        <w:rPr>
          <w:rFonts w:ascii="Palatino Linotype" w:hAnsi="Palatino Linotype"/>
          <w:b/>
          <w:lang w:val="en-GB"/>
        </w:rPr>
        <w:t xml:space="preserve">Equity </w:t>
      </w:r>
      <w:r w:rsidR="00AF134C">
        <w:rPr>
          <w:rFonts w:ascii="Palatino Linotype" w:hAnsi="Palatino Linotype"/>
          <w:b/>
          <w:lang w:val="en-GB"/>
        </w:rPr>
        <w:t>complaints</w:t>
      </w:r>
    </w:p>
    <w:p w:rsidR="00AF134C" w:rsidRPr="00AF134C" w:rsidRDefault="00AF134C" w:rsidP="00AF134C">
      <w:pPr>
        <w:pStyle w:val="ListParagraph"/>
        <w:numPr>
          <w:ilvl w:val="1"/>
          <w:numId w:val="6"/>
        </w:num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lang w:val="en-GB"/>
        </w:rPr>
        <w:t>Where a Society Member has witnessed or fallen victim to an equity violation, they may report this to the Equity Officer, if they s</w:t>
      </w:r>
      <w:r w:rsidR="00FD1285">
        <w:rPr>
          <w:rFonts w:ascii="Palatino Linotype" w:hAnsi="Palatino Linotype"/>
          <w:lang w:val="en-GB"/>
        </w:rPr>
        <w:t>o wish (see section 5</w:t>
      </w:r>
      <w:r>
        <w:rPr>
          <w:rFonts w:ascii="Palatino Linotype" w:hAnsi="Palatino Linotype"/>
          <w:lang w:val="en-GB"/>
        </w:rPr>
        <w:t xml:space="preserve">). The </w:t>
      </w:r>
      <w:r>
        <w:rPr>
          <w:rFonts w:ascii="Palatino Linotype" w:hAnsi="Palatino Linotype"/>
          <w:lang w:val="en-GB"/>
        </w:rPr>
        <w:lastRenderedPageBreak/>
        <w:t>Equity Officer may then launch a formal investigation into the issue and take whatever action they deem app</w:t>
      </w:r>
      <w:r w:rsidR="00056F65">
        <w:rPr>
          <w:rFonts w:ascii="Palatino Linotype" w:hAnsi="Palatino Linotype"/>
          <w:lang w:val="en-GB"/>
        </w:rPr>
        <w:t>ropriate (e.g. mediation; requesting a formal apology; issuing a warning), if any.</w:t>
      </w:r>
    </w:p>
    <w:p w:rsidR="00AF134C" w:rsidRPr="00AF134C" w:rsidRDefault="00AF134C" w:rsidP="00AF134C">
      <w:pPr>
        <w:pStyle w:val="ListParagraph"/>
        <w:numPr>
          <w:ilvl w:val="1"/>
          <w:numId w:val="6"/>
        </w:num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lang w:val="en-GB"/>
        </w:rPr>
        <w:t>The Equity Officer is responsible for handling all equity complaints in</w:t>
      </w:r>
      <w:r w:rsidR="00B800B1">
        <w:rPr>
          <w:rFonts w:ascii="Palatino Linotype" w:hAnsi="Palatino Linotype"/>
          <w:lang w:val="en-GB"/>
        </w:rPr>
        <w:t xml:space="preserve"> a prompt and effective manner, while remaining as objective </w:t>
      </w:r>
      <w:r w:rsidR="00D72169">
        <w:rPr>
          <w:rFonts w:ascii="Palatino Linotype" w:hAnsi="Palatino Linotype"/>
          <w:lang w:val="en-GB"/>
        </w:rPr>
        <w:t xml:space="preserve">and unbiased </w:t>
      </w:r>
      <w:r w:rsidR="00B800B1">
        <w:rPr>
          <w:rFonts w:ascii="Palatino Linotype" w:hAnsi="Palatino Linotype"/>
          <w:lang w:val="en-GB"/>
        </w:rPr>
        <w:t xml:space="preserve">as possible and considering all involved parties’ perspectives equally. </w:t>
      </w:r>
    </w:p>
    <w:p w:rsidR="00AF134C" w:rsidRPr="00056F65" w:rsidRDefault="00AF134C" w:rsidP="00AF134C">
      <w:pPr>
        <w:pStyle w:val="ListParagraph"/>
        <w:numPr>
          <w:ilvl w:val="1"/>
          <w:numId w:val="6"/>
        </w:num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lang w:val="en-GB"/>
        </w:rPr>
        <w:t>If the complainant does not wish to approach the Equity Officer directly</w:t>
      </w:r>
      <w:r w:rsidR="00B800B1">
        <w:rPr>
          <w:rFonts w:ascii="Palatino Linotype" w:hAnsi="Palatino Linotype"/>
          <w:lang w:val="en-GB"/>
        </w:rPr>
        <w:t>, the complaint may be submitted to any Committee Member, who will then refer it to the Equity Officer; if the complainant wishes to report an equity violation committed by the Equity Officer, the complaint should be su</w:t>
      </w:r>
      <w:r w:rsidR="00403E92">
        <w:rPr>
          <w:rFonts w:ascii="Palatino Linotype" w:hAnsi="Palatino Linotype"/>
          <w:lang w:val="en-GB"/>
        </w:rPr>
        <w:t>bmitted to the Auditor of the Se</w:t>
      </w:r>
      <w:r w:rsidR="00B800B1">
        <w:rPr>
          <w:rFonts w:ascii="Palatino Linotype" w:hAnsi="Palatino Linotype"/>
          <w:lang w:val="en-GB"/>
        </w:rPr>
        <w:t>ssion.</w:t>
      </w:r>
    </w:p>
    <w:p w:rsidR="00056F65" w:rsidRPr="00056F65" w:rsidRDefault="00056F65" w:rsidP="00AF134C">
      <w:pPr>
        <w:pStyle w:val="ListParagraph"/>
        <w:numPr>
          <w:ilvl w:val="1"/>
          <w:numId w:val="6"/>
        </w:num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lang w:val="en-GB"/>
        </w:rPr>
        <w:t xml:space="preserve">The complainant may wish to report an equity violation anonymously – that is, the identity of the complainant will not be disclosed to the offender. This, however, may limit the possible </w:t>
      </w:r>
      <w:r w:rsidR="00D72169">
        <w:rPr>
          <w:rFonts w:ascii="Palatino Linotype" w:hAnsi="Palatino Linotype"/>
          <w:lang w:val="en-GB"/>
        </w:rPr>
        <w:t>compensatory action</w:t>
      </w:r>
      <w:r>
        <w:rPr>
          <w:rFonts w:ascii="Palatino Linotype" w:hAnsi="Palatino Linotype"/>
          <w:lang w:val="en-GB"/>
        </w:rPr>
        <w:t xml:space="preserve"> (for example, a formal apology to the complainant cannot be requested).</w:t>
      </w:r>
    </w:p>
    <w:p w:rsidR="00056F65" w:rsidRPr="008E48CF" w:rsidRDefault="00D72169" w:rsidP="00AF134C">
      <w:pPr>
        <w:pStyle w:val="ListParagraph"/>
        <w:numPr>
          <w:ilvl w:val="1"/>
          <w:numId w:val="6"/>
        </w:num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lang w:val="en-GB"/>
        </w:rPr>
        <w:t>Where the Equity Officer does not feel equipped to deal with an equity complaint, they have the right to refuse to do so and</w:t>
      </w:r>
      <w:r w:rsidR="008E48CF">
        <w:rPr>
          <w:rFonts w:ascii="Palatino Linotype" w:hAnsi="Palatino Linotype"/>
          <w:lang w:val="en-GB"/>
        </w:rPr>
        <w:t xml:space="preserve"> must</w:t>
      </w:r>
      <w:r>
        <w:rPr>
          <w:rFonts w:ascii="Palatino Linotype" w:hAnsi="Palatino Linotype"/>
          <w:lang w:val="en-GB"/>
        </w:rPr>
        <w:t xml:space="preserve"> instead refer the complainant to the relevant college bodies (e.g. Student Counselling Service; Junior Dean; Senior Tutor).</w:t>
      </w:r>
      <w:r w:rsidR="00C01443">
        <w:rPr>
          <w:rFonts w:ascii="Palatino Linotype" w:hAnsi="Palatino Linotype"/>
          <w:lang w:val="en-GB"/>
        </w:rPr>
        <w:t xml:space="preserve"> The Equity Officer also reserves the right to consult the Auditor on all matters.</w:t>
      </w:r>
      <w:bookmarkStart w:id="0" w:name="_GoBack"/>
      <w:bookmarkEnd w:id="0"/>
    </w:p>
    <w:p w:rsidR="008E48CF" w:rsidRPr="000D50E6" w:rsidRDefault="008E48CF" w:rsidP="000D50E6">
      <w:pPr>
        <w:pStyle w:val="ListParagraph"/>
        <w:numPr>
          <w:ilvl w:val="1"/>
          <w:numId w:val="6"/>
        </w:num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lang w:val="en-GB"/>
        </w:rPr>
        <w:t>The Equity Officer must handle all equity complaints confi</w:t>
      </w:r>
      <w:r w:rsidR="000D50E6">
        <w:rPr>
          <w:rFonts w:ascii="Palatino Linotype" w:hAnsi="Palatino Linotype"/>
          <w:lang w:val="en-GB"/>
        </w:rPr>
        <w:t>dentially, with the exception of</w:t>
      </w:r>
      <w:r>
        <w:rPr>
          <w:rFonts w:ascii="Palatino Linotype" w:hAnsi="Palatino Linotype"/>
          <w:lang w:val="en-GB"/>
        </w:rPr>
        <w:t>:</w:t>
      </w:r>
    </w:p>
    <w:p w:rsidR="000D50E6" w:rsidRPr="000D50E6" w:rsidRDefault="00C01443" w:rsidP="000D50E6">
      <w:pPr>
        <w:pStyle w:val="ListParagraph"/>
        <w:numPr>
          <w:ilvl w:val="2"/>
          <w:numId w:val="6"/>
        </w:num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lang w:val="en-GB"/>
        </w:rPr>
        <w:t xml:space="preserve"> complaints surrounding child protection</w:t>
      </w:r>
      <w:r w:rsidR="000D50E6">
        <w:rPr>
          <w:rFonts w:ascii="Palatino Linotype" w:hAnsi="Palatino Linotype"/>
          <w:lang w:val="en-GB"/>
        </w:rPr>
        <w:t>;</w:t>
      </w:r>
    </w:p>
    <w:p w:rsidR="00130ACB" w:rsidRPr="00643788" w:rsidRDefault="000D50E6" w:rsidP="00643788">
      <w:pPr>
        <w:pStyle w:val="ListParagraph"/>
        <w:numPr>
          <w:ilvl w:val="2"/>
          <w:numId w:val="6"/>
        </w:num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lang w:val="en-GB"/>
        </w:rPr>
        <w:t xml:space="preserve"> where</w:t>
      </w:r>
      <w:r w:rsidR="00130ACB">
        <w:rPr>
          <w:rFonts w:ascii="Palatino Linotype" w:hAnsi="Palatino Linotype"/>
          <w:lang w:val="en-GB"/>
        </w:rPr>
        <w:t xml:space="preserve"> danger of immediate serious harm to oneself </w:t>
      </w:r>
      <w:r w:rsidR="00643788">
        <w:rPr>
          <w:rFonts w:ascii="Palatino Linotype" w:hAnsi="Palatino Linotype"/>
          <w:lang w:val="en-GB"/>
        </w:rPr>
        <w:t>is present or suspected;</w:t>
      </w:r>
    </w:p>
    <w:p w:rsidR="00643788" w:rsidRPr="00643788" w:rsidRDefault="00643788" w:rsidP="00643788">
      <w:pPr>
        <w:pStyle w:val="ListParagraph"/>
        <w:numPr>
          <w:ilvl w:val="2"/>
          <w:numId w:val="6"/>
        </w:num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lang w:val="en-GB"/>
        </w:rPr>
        <w:t xml:space="preserve"> where danger of immediate serious harm to a third party is present or suspected.</w:t>
      </w:r>
    </w:p>
    <w:p w:rsidR="00C01443" w:rsidRPr="00C01443" w:rsidRDefault="00643788" w:rsidP="00C01443">
      <w:pPr>
        <w:pStyle w:val="ListParagraph"/>
        <w:ind w:left="1068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 xml:space="preserve">In the above cases, the Equity Officer is legally obliged to report the situation to the relevant authorities. </w:t>
      </w:r>
    </w:p>
    <w:p w:rsidR="00643788" w:rsidRPr="00643788" w:rsidRDefault="00643788" w:rsidP="00643788">
      <w:pPr>
        <w:pStyle w:val="ListParagraph"/>
        <w:ind w:left="360"/>
        <w:rPr>
          <w:rFonts w:ascii="Palatino Linotype" w:hAnsi="Palatino Linotype"/>
          <w:lang w:val="en-GB"/>
        </w:rPr>
      </w:pPr>
      <w:r w:rsidRPr="00643788">
        <w:rPr>
          <w:rFonts w:ascii="Palatino Linotype" w:hAnsi="Palatino Linotype"/>
          <w:b/>
          <w:lang w:val="en-GB"/>
        </w:rPr>
        <w:t xml:space="preserve">Note: </w:t>
      </w:r>
      <w:r>
        <w:rPr>
          <w:rFonts w:ascii="Palatino Linotype" w:hAnsi="Palatino Linotype"/>
          <w:lang w:val="en-GB"/>
        </w:rPr>
        <w:t>Raising an equity issue with the Equity Officer will not necessarily result in immediate investig</w:t>
      </w:r>
      <w:r w:rsidR="003E330B">
        <w:rPr>
          <w:rFonts w:ascii="Palatino Linotype" w:hAnsi="Palatino Linotype"/>
          <w:lang w:val="en-GB"/>
        </w:rPr>
        <w:t>ation or action; in most cases, the possible solutions will be discussed with the complainant before action is taken (if any). A Society member may also wish to merely discuss a matter with the Equity Officer without issuing a formal complaint.</w:t>
      </w:r>
    </w:p>
    <w:p w:rsidR="00BB7B02" w:rsidRDefault="00BB7B02" w:rsidP="00BB7B02">
      <w:pPr>
        <w:pStyle w:val="ListParagraph"/>
        <w:numPr>
          <w:ilvl w:val="0"/>
          <w:numId w:val="6"/>
        </w:numPr>
        <w:rPr>
          <w:rFonts w:ascii="Palatino Linotype" w:hAnsi="Palatino Linotype"/>
          <w:b/>
          <w:lang w:val="en-GB"/>
        </w:rPr>
      </w:pPr>
      <w:r w:rsidRPr="00BB7B02">
        <w:rPr>
          <w:rFonts w:ascii="Palatino Linotype" w:hAnsi="Palatino Linotype"/>
          <w:b/>
          <w:lang w:val="en-GB"/>
        </w:rPr>
        <w:t>Contact details</w:t>
      </w:r>
    </w:p>
    <w:p w:rsidR="00E338FE" w:rsidRPr="00BB7B02" w:rsidRDefault="00E338FE" w:rsidP="00D72169">
      <w:pPr>
        <w:pStyle w:val="ListParagraph"/>
        <w:ind w:left="360"/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lang w:val="en-GB"/>
        </w:rPr>
        <w:t>The Equity Officer of the 248</w:t>
      </w:r>
      <w:r w:rsidRPr="00E338FE">
        <w:rPr>
          <w:rFonts w:ascii="Palatino Linotype" w:hAnsi="Palatino Linotype"/>
          <w:vertAlign w:val="superscript"/>
          <w:lang w:val="en-GB"/>
        </w:rPr>
        <w:t>th</w:t>
      </w:r>
      <w:r>
        <w:rPr>
          <w:rFonts w:ascii="Palatino Linotype" w:hAnsi="Palatino Linotype"/>
          <w:lang w:val="en-GB"/>
        </w:rPr>
        <w:t xml:space="preserve"> session is Maria Pachowicz. She can be contacted at 085 244 0750, or at </w:t>
      </w:r>
      <w:hyperlink r:id="rId8" w:history="1">
        <w:r w:rsidR="00FD1285" w:rsidRPr="005D7836">
          <w:rPr>
            <w:rStyle w:val="Hyperlink"/>
            <w:rFonts w:ascii="Palatino Linotype" w:hAnsi="Palatino Linotype"/>
            <w:lang w:val="en-GB"/>
          </w:rPr>
          <w:t>equity@thehist.com</w:t>
        </w:r>
      </w:hyperlink>
      <w:r w:rsidR="00FD1285">
        <w:rPr>
          <w:rFonts w:ascii="Palatino Linotype" w:hAnsi="Palatino Linotype"/>
          <w:lang w:val="en-GB"/>
        </w:rPr>
        <w:t xml:space="preserve">. </w:t>
      </w:r>
      <w:r>
        <w:rPr>
          <w:rFonts w:ascii="Palatino Linotype" w:hAnsi="Palatino Linotype"/>
          <w:lang w:val="en-GB"/>
        </w:rPr>
        <w:t xml:space="preserve"> </w:t>
      </w:r>
    </w:p>
    <w:sectPr w:rsidR="00E338FE" w:rsidRPr="00BB7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28A" w:rsidRDefault="00DA028A" w:rsidP="00C8692F">
      <w:pPr>
        <w:spacing w:after="0" w:line="240" w:lineRule="auto"/>
      </w:pPr>
      <w:r>
        <w:separator/>
      </w:r>
    </w:p>
  </w:endnote>
  <w:endnote w:type="continuationSeparator" w:id="0">
    <w:p w:rsidR="00DA028A" w:rsidRDefault="00DA028A" w:rsidP="00C8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28A" w:rsidRDefault="00DA028A" w:rsidP="00C8692F">
      <w:pPr>
        <w:spacing w:after="0" w:line="240" w:lineRule="auto"/>
      </w:pPr>
      <w:r>
        <w:separator/>
      </w:r>
    </w:p>
  </w:footnote>
  <w:footnote w:type="continuationSeparator" w:id="0">
    <w:p w:rsidR="00DA028A" w:rsidRDefault="00DA028A" w:rsidP="00C86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269"/>
    <w:multiLevelType w:val="hybridMultilevel"/>
    <w:tmpl w:val="F62803B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E1824"/>
    <w:multiLevelType w:val="hybridMultilevel"/>
    <w:tmpl w:val="826AAC64"/>
    <w:lvl w:ilvl="0" w:tplc="6338CB12">
      <w:start w:val="1"/>
      <w:numFmt w:val="lowerLetter"/>
      <w:lvlText w:val="%1."/>
      <w:lvlJc w:val="left"/>
      <w:pPr>
        <w:ind w:left="1248" w:hanging="18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" w15:restartNumberingAfterBreak="0">
    <w:nsid w:val="317470D1"/>
    <w:multiLevelType w:val="hybridMultilevel"/>
    <w:tmpl w:val="38044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942F2"/>
    <w:multiLevelType w:val="hybridMultilevel"/>
    <w:tmpl w:val="309C4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0076E"/>
    <w:multiLevelType w:val="hybridMultilevel"/>
    <w:tmpl w:val="57EEB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F0EC8"/>
    <w:multiLevelType w:val="hybridMultilevel"/>
    <w:tmpl w:val="04CC48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35C232C">
      <w:start w:val="1"/>
      <w:numFmt w:val="lowerRoman"/>
      <w:lvlText w:val="%2."/>
      <w:lvlJc w:val="right"/>
      <w:pPr>
        <w:ind w:left="1068" w:hanging="360"/>
      </w:pPr>
      <w:rPr>
        <w:b w:val="0"/>
      </w:rPr>
    </w:lvl>
    <w:lvl w:ilvl="2" w:tplc="6338CB12">
      <w:start w:val="1"/>
      <w:numFmt w:val="lowerLetter"/>
      <w:lvlText w:val="%3."/>
      <w:lvlJc w:val="left"/>
      <w:pPr>
        <w:ind w:left="1739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34074"/>
    <w:multiLevelType w:val="hybridMultilevel"/>
    <w:tmpl w:val="C5422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02"/>
    <w:rsid w:val="00056F65"/>
    <w:rsid w:val="000D50E6"/>
    <w:rsid w:val="0010200E"/>
    <w:rsid w:val="00130ACB"/>
    <w:rsid w:val="00196E50"/>
    <w:rsid w:val="002B024D"/>
    <w:rsid w:val="00306AE9"/>
    <w:rsid w:val="003E330B"/>
    <w:rsid w:val="00403E92"/>
    <w:rsid w:val="004C5198"/>
    <w:rsid w:val="00556BB3"/>
    <w:rsid w:val="005F29EE"/>
    <w:rsid w:val="006015B9"/>
    <w:rsid w:val="006072BE"/>
    <w:rsid w:val="00643788"/>
    <w:rsid w:val="00666B55"/>
    <w:rsid w:val="00741945"/>
    <w:rsid w:val="008E48CF"/>
    <w:rsid w:val="00990E98"/>
    <w:rsid w:val="00A11323"/>
    <w:rsid w:val="00A15304"/>
    <w:rsid w:val="00AF134C"/>
    <w:rsid w:val="00B13588"/>
    <w:rsid w:val="00B800B1"/>
    <w:rsid w:val="00B87461"/>
    <w:rsid w:val="00BB7B02"/>
    <w:rsid w:val="00C01443"/>
    <w:rsid w:val="00C8692F"/>
    <w:rsid w:val="00D72169"/>
    <w:rsid w:val="00DA028A"/>
    <w:rsid w:val="00DE2C0C"/>
    <w:rsid w:val="00DF2CFA"/>
    <w:rsid w:val="00E338FE"/>
    <w:rsid w:val="00FD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F596"/>
  <w15:chartTrackingRefBased/>
  <w15:docId w15:val="{355191E2-91CB-4DBB-85E5-2FA59A9F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B0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869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69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692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D12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2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uity@thehis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E53CC-F3B4-4778-ADE7-2916E237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Marysia</cp:lastModifiedBy>
  <cp:revision>9</cp:revision>
  <dcterms:created xsi:type="dcterms:W3CDTF">2017-06-08T13:25:00Z</dcterms:created>
  <dcterms:modified xsi:type="dcterms:W3CDTF">2017-08-01T15:25:00Z</dcterms:modified>
</cp:coreProperties>
</file>